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 и введен в действие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Государственного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СССР по стандартам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 января 1979 г. N 185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МЕЖГОСУДАРСТВЕННЫЙ СТАНДАРТ</w:t>
      </w: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ГОРНАЯ ГРАФИЧЕСКАЯ ДОКУМЕНТАЦИЯ</w:t>
      </w: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ПРАВИЛА ВЫПОЛНЕНИЯ УСЛОВНЫХ ОБОЗНАЧЕНИЙ</w:t>
      </w: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C589C" w:rsidRP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  <w:lang w:val="en-US"/>
        </w:rPr>
      </w:pPr>
      <w:r w:rsidRPr="009C589C">
        <w:rPr>
          <w:rFonts w:ascii="Arial" w:eastAsiaTheme="minorHAnsi" w:hAnsi="Arial" w:cs="Arial"/>
          <w:color w:val="auto"/>
          <w:sz w:val="20"/>
          <w:szCs w:val="20"/>
          <w:lang w:val="en-US"/>
        </w:rPr>
        <w:t>Rock graphic documentation. Symbol representation rules</w:t>
      </w:r>
    </w:p>
    <w:p w:rsidR="009C589C" w:rsidRP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  <w:lang w:val="en-US"/>
        </w:rPr>
      </w:pP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ГОСТ 2.853-75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Т52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введения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января 1980 года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ДАННЫЕ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Разработан Всесоюзным научно-исследовательским институтом по нормализации в машиностроении (ВНИИНМАШ),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Московским горным институтом (МГИ),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Всесоюзным научно-исследовательским институтом горной геомеханики и маркшейдерского дела (ВНИМИ).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 Всесоюзным научно-исследовательским институтом по нормализации в машиностроении (ВНИИНМАШ).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Утвержден и введен в действие Постановлением Государственного комитета СССР по стандартам от 24.01.1979 N 185.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Ссылочные нормативно-технические документы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685"/>
      </w:tblGrid>
      <w:tr w:rsidR="009C589C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НТД, на который дана ссылка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пункта</w:t>
            </w:r>
          </w:p>
        </w:tc>
      </w:tr>
      <w:tr w:rsidR="009C589C"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ГОСТ 2.304-81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</w:tr>
      <w:tr w:rsidR="009C589C">
        <w:tc>
          <w:tcPr>
            <w:tcW w:w="595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2.854-75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w:anchor="Par2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12</w:t>
              </w:r>
            </w:hyperlink>
          </w:p>
        </w:tc>
      </w:tr>
      <w:tr w:rsidR="009C589C">
        <w:tc>
          <w:tcPr>
            <w:tcW w:w="595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ГОСТ 2.855-75</w:t>
              </w:r>
            </w:hyperlink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w:anchor="Par2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w:anchor="Par3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</w:t>
              </w:r>
            </w:hyperlink>
          </w:p>
        </w:tc>
      </w:tr>
      <w:tr w:rsidR="009C589C">
        <w:tc>
          <w:tcPr>
            <w:tcW w:w="595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2.856-75, ГОСТ 2.857-75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w:anchor="Par2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12</w:t>
              </w:r>
            </w:hyperlink>
          </w:p>
        </w:tc>
      </w:tr>
      <w:tr w:rsidR="009C589C">
        <w:tc>
          <w:tcPr>
            <w:tcW w:w="595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РС 446-65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589C">
        <w:tc>
          <w:tcPr>
            <w:tcW w:w="595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РС 1578-68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Ограничение срока действия снято Постановлением Госстандарта от 13.08.1982 N 3206.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Переиздание. Сентябрь 2002 г.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стандарт устанавливает правила выполнения условных графических обозначений на горных чертежах всех отраслей промышленности и строительства.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Стандарт не распространяется на условные графические обозначения планов земной поверхности горных предприятий, выполняемых по техническим требованиям ГУГК.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стандарте учтены требования рекомендаций СЭВ по стандартизации РС 446 и РС 1578.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Для горной графической документации следует применять масштабные, разномасштабные, безмасштабные и пояснительные условные обозначения.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Масштабные условные обозначения следует применять, когда объект может быть изображен в масштабе чертежа.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Разномасштабные условные обозначения следует применять для изображения вытянутых объектов, размер которых по ширине не может быть выражен в масштабе чертежа.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Безмасштабные условные обозначения следует применять, когда размеры объектов в масштабе чертежа равны или меньше размеров безмасштабных условных обозначений этих объектов.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Исключение составляют условные обозначения устьев и сечений стволов и шурфов. Масштабные условные обозначения их следует применять на планах в масштабе 1:1000 и крупнее, безмасштабные - в масштабе 1:2000 и мельче.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Пояснительные условные обозначения следует применять как дополнительные к масштабным, разномасштабным и безмасштабным условным обозначениям при изображении геометрических элементов (осей, стрелок направлений и др.).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Масштабные и разномасштабные условные обозначения следует наносить на чертежи в соответствии с размерами и положением изображаемых объектов в натуре.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Безмасштабные условные обозначения следует наносить так, чтобы их центры на чертеже соответствовали центрам изображаемых объектов в натуре, ориентируя их в соответствии с ориентировкой изображаемых объектов в натуре.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9"/>
      <w:bookmarkEnd w:id="0"/>
      <w:r>
        <w:rPr>
          <w:rFonts w:ascii="Arial" w:hAnsi="Arial" w:cs="Arial"/>
          <w:sz w:val="20"/>
          <w:szCs w:val="20"/>
        </w:rPr>
        <w:t>4. Размеры разномасштабных и безмасштабных условных обозначений в миллиметрах - по ГОСТ 2.854 - ГОСТ 2.857.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размеры условного обозначения в стандарте не установлены, то они должны соответствовать размерам расположенного выше на том же листе однотипного условного обозначения с указанными размерами.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Условные обозначения в форме равносторонних фигур (квадратов, треугольников, ромбов) следует строить по размеру, указанному для одной из сторон.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Размеры условных обозначений объектов, наносимых на производственно-технические чертежи, чертежи по планированию, руководству и контролю за горными работами, допускается изменять в зависимости от назначения и содержания чертежей, сохраняя при этом начертания обозначений.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Условные обозначения следует выполнять линиями, приведенными в табл. 1. Допускаются комбинации штриховых линий с пунктирными; при этом следует принимать любое количество точек, соблюдая расстояние от штрихов до точек и между точками 1 мм.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9C589C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378"/>
        <w:gridCol w:w="2340"/>
        <w:gridCol w:w="2160"/>
        <w:gridCol w:w="2520"/>
        <w:gridCol w:w="2340"/>
      </w:tblGrid>
      <w:tr w:rsidR="009C589C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Толщина s, мм</w:t>
            </w:r>
          </w:p>
        </w:tc>
        <w:tc>
          <w:tcPr>
            <w:tcW w:w="1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</w:tr>
      <w:tr w:rsidR="009C589C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штриховая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пунктирная</w:t>
            </w:r>
          </w:p>
        </w:tc>
      </w:tr>
      <w:tr w:rsidR="009C589C"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4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90170"/>
                  <wp:effectExtent l="0" t="0" r="0" b="508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811530" cy="257810"/>
                  <wp:effectExtent l="0" t="0" r="7620" b="889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>
                  <wp:extent cx="746760" cy="27051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953135" cy="283210"/>
                  <wp:effectExtent l="0" t="0" r="0" b="254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824230" cy="257810"/>
                  <wp:effectExtent l="0" t="0" r="0" b="889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4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7747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4"/>
                <w:sz w:val="20"/>
                <w:szCs w:val="20"/>
                <w:lang w:eastAsia="ru-RU"/>
              </w:rPr>
              <w:drawing>
                <wp:inline distT="0" distB="0" distL="0" distR="0">
                  <wp:extent cx="811530" cy="90170"/>
                  <wp:effectExtent l="0" t="0" r="7620" b="508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4"/>
                <w:sz w:val="20"/>
                <w:szCs w:val="20"/>
                <w:lang w:eastAsia="ru-RU"/>
              </w:rPr>
              <w:drawing>
                <wp:inline distT="0" distB="0" distL="0" distR="0">
                  <wp:extent cx="721360" cy="77470"/>
                  <wp:effectExtent l="0" t="0" r="254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4"/>
                <w:sz w:val="20"/>
                <w:szCs w:val="20"/>
                <w:lang w:eastAsia="ru-RU"/>
              </w:rPr>
              <w:drawing>
                <wp:inline distT="0" distB="0" distL="0" distR="0">
                  <wp:extent cx="940435" cy="90170"/>
                  <wp:effectExtent l="0" t="0" r="0" b="508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811530" cy="244475"/>
                  <wp:effectExtent l="0" t="0" r="7620" b="317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6"/>
                <w:sz w:val="20"/>
                <w:szCs w:val="20"/>
                <w:lang w:eastAsia="ru-RU"/>
              </w:rPr>
              <w:drawing>
                <wp:inline distT="0" distB="0" distL="0" distR="0">
                  <wp:extent cx="901700" cy="6413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798195" cy="51435"/>
                  <wp:effectExtent l="0" t="0" r="1905" b="571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734060" cy="51435"/>
                  <wp:effectExtent l="0" t="0" r="8890" b="571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51435"/>
                  <wp:effectExtent l="0" t="0" r="0" b="571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>
                  <wp:extent cx="811530" cy="206375"/>
                  <wp:effectExtent l="0" t="0" r="7620" b="317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901700" cy="3873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811530" cy="51435"/>
                  <wp:effectExtent l="0" t="0" r="7620" b="571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721360" cy="51435"/>
                  <wp:effectExtent l="0" t="0" r="2540" b="571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940435" cy="51435"/>
                  <wp:effectExtent l="0" t="0" r="0" b="571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>
                  <wp:extent cx="811530" cy="206375"/>
                  <wp:effectExtent l="0" t="0" r="7620" b="317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3873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8"/>
                <w:sz w:val="20"/>
                <w:szCs w:val="20"/>
                <w:lang w:eastAsia="ru-RU"/>
              </w:rPr>
              <w:drawing>
                <wp:inline distT="0" distB="0" distL="0" distR="0">
                  <wp:extent cx="798195" cy="26035"/>
                  <wp:effectExtent l="0" t="0" r="190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9"/>
                <w:sz w:val="20"/>
                <w:szCs w:val="20"/>
                <w:lang w:eastAsia="ru-RU"/>
              </w:rPr>
              <w:drawing>
                <wp:inline distT="0" distB="0" distL="0" distR="0">
                  <wp:extent cx="721360" cy="26035"/>
                  <wp:effectExtent l="0" t="0" r="254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927100" cy="38735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3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>
                  <wp:extent cx="811530" cy="206375"/>
                  <wp:effectExtent l="0" t="0" r="7620" b="317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8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260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811530" cy="51435"/>
                  <wp:effectExtent l="0" t="0" r="7620" b="571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746760" cy="3873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3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940435" cy="51435"/>
                  <wp:effectExtent l="0" t="0" r="0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836930" cy="193040"/>
                  <wp:effectExtent l="0" t="0" r="127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9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2603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811530" cy="38735"/>
                  <wp:effectExtent l="0" t="0" r="762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3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9"/>
                <w:sz w:val="20"/>
                <w:szCs w:val="20"/>
                <w:lang w:eastAsia="ru-RU"/>
              </w:rPr>
              <w:drawing>
                <wp:inline distT="0" distB="0" distL="0" distR="0">
                  <wp:extent cx="734060" cy="26035"/>
                  <wp:effectExtent l="0" t="0" r="889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8"/>
                <w:sz w:val="20"/>
                <w:szCs w:val="20"/>
                <w:lang w:eastAsia="ru-RU"/>
              </w:rPr>
              <w:drawing>
                <wp:inline distT="0" distB="0" distL="0" distR="0">
                  <wp:extent cx="953135" cy="2603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850265" cy="193040"/>
                  <wp:effectExtent l="0" t="0" r="698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3873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7"/>
                <w:sz w:val="20"/>
                <w:szCs w:val="20"/>
                <w:lang w:eastAsia="ru-RU"/>
              </w:rPr>
              <w:drawing>
                <wp:inline distT="0" distB="0" distL="0" distR="0">
                  <wp:extent cx="811530" cy="51435"/>
                  <wp:effectExtent l="0" t="0" r="7620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8"/>
                <w:sz w:val="20"/>
                <w:szCs w:val="20"/>
                <w:lang w:eastAsia="ru-RU"/>
              </w:rPr>
              <w:drawing>
                <wp:inline distT="0" distB="0" distL="0" distR="0">
                  <wp:extent cx="734060" cy="26035"/>
                  <wp:effectExtent l="0" t="0" r="889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9"/>
                <w:sz w:val="20"/>
                <w:szCs w:val="20"/>
                <w:lang w:eastAsia="ru-RU"/>
              </w:rPr>
              <w:drawing>
                <wp:inline distT="0" distB="0" distL="0" distR="0">
                  <wp:extent cx="953135" cy="2603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901700" cy="19304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21"/>
      <w:bookmarkEnd w:id="1"/>
      <w:r>
        <w:rPr>
          <w:rFonts w:ascii="Arial" w:hAnsi="Arial" w:cs="Arial"/>
          <w:sz w:val="20"/>
          <w:szCs w:val="20"/>
        </w:rPr>
        <w:t xml:space="preserve">7. Надписи следует наносить наклонным шрифтом по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ГОСТ 2.304</w:t>
        </w:r>
      </w:hyperlink>
      <w:r>
        <w:rPr>
          <w:rFonts w:ascii="Arial" w:hAnsi="Arial" w:cs="Arial"/>
          <w:sz w:val="20"/>
          <w:szCs w:val="20"/>
        </w:rPr>
        <w:t xml:space="preserve">. В дополнение к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ГОСТ 2.304</w:t>
        </w:r>
      </w:hyperlink>
      <w:r>
        <w:rPr>
          <w:rFonts w:ascii="Arial" w:hAnsi="Arial" w:cs="Arial"/>
          <w:sz w:val="20"/>
          <w:szCs w:val="20"/>
        </w:rPr>
        <w:t xml:space="preserve"> разрешается применять шрифт наклонный узкий. Соотношения между высотой и размерами букв и цифр для узкого шрифта должны соответствовать приведенным в табл. 2.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871"/>
        <w:gridCol w:w="1984"/>
      </w:tblGrid>
      <w:tr w:rsidR="009C589C">
        <w:tc>
          <w:tcPr>
            <w:tcW w:w="6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Определяемая величина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Соотношение размеров</w:t>
            </w:r>
          </w:p>
        </w:tc>
      </w:tr>
      <w:tr w:rsidR="009C589C">
        <w:tc>
          <w:tcPr>
            <w:tcW w:w="6633" w:type="dxa"/>
            <w:tcBorders>
              <w:top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Прописные буквы и цифры: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89C">
        <w:tc>
          <w:tcPr>
            <w:tcW w:w="663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 букв и цифр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589C">
        <w:tc>
          <w:tcPr>
            <w:tcW w:w="663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букв и цифр, кроме А, Ж, Ф, Ш, Щ, Ы, Ю и цифры 1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34645" cy="309245"/>
                  <wp:effectExtent l="0" t="0" r="825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663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букв Ж, Ф, Ш, Щ, Ы, Ю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206375" cy="244475"/>
                  <wp:effectExtent l="0" t="0" r="3175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34645" cy="309245"/>
                  <wp:effectExtent l="0" t="0" r="825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663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ширина букв А, М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44475"/>
                  <wp:effectExtent l="0" t="0" r="9525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34645" cy="309245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663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цифры 1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44475"/>
                  <wp:effectExtent l="0" t="0" r="9525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34645" cy="309245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663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Строчные буквы: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89C">
        <w:tc>
          <w:tcPr>
            <w:tcW w:w="663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 букв, кроме б, в, д, р, у, ф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54305" cy="2317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34645" cy="309245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663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 букв б, в, д, р, у, ф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231775" cy="24447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9C589C">
        <w:tc>
          <w:tcPr>
            <w:tcW w:w="663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букв, кроме ж, м, т, ф, ш, щ, ы, ю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44475"/>
                  <wp:effectExtent l="0" t="0" r="9525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34645" cy="309245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663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букв ж, т, ф, ш, щ, ы, ю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44475"/>
                  <wp:effectExtent l="0" t="0" r="9525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34645" cy="309245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663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буквы м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44475"/>
                  <wp:effectExtent l="0" t="0" r="952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34645" cy="309245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9C">
        <w:tc>
          <w:tcPr>
            <w:tcW w:w="663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Толщина линий букв и цифр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 h</w:t>
            </w:r>
          </w:p>
        </w:tc>
      </w:tr>
      <w:tr w:rsidR="009C589C">
        <w:tc>
          <w:tcPr>
            <w:tcW w:w="663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Высота индексов, показателей степени, предельных отклонений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44475"/>
                  <wp:effectExtent l="0" t="0" r="9525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0,5 - 0,7 h</w:t>
            </w:r>
          </w:p>
        </w:tc>
      </w:tr>
    </w:tbl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9C589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При нанесении на чертежи надписей с помощью деколей наклонные шрифты допускается заменять шрифтами, указанными в табл. 3.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4"/>
        <w:gridCol w:w="7030"/>
      </w:tblGrid>
      <w:tr w:rsidR="009C589C"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Наклонный шрифт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Шрифт, допускаемый при воспроизведении надписей с помощью деколей</w:t>
            </w:r>
          </w:p>
        </w:tc>
      </w:tr>
      <w:tr w:rsidR="009C589C">
        <w:tc>
          <w:tcPr>
            <w:tcW w:w="2624" w:type="dxa"/>
            <w:tcBorders>
              <w:top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Узкий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Древний курсив остовный (шрифт 25)</w:t>
            </w:r>
          </w:p>
        </w:tc>
      </w:tr>
      <w:tr w:rsidR="009C589C">
        <w:tc>
          <w:tcPr>
            <w:tcW w:w="262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</w:t>
            </w:r>
          </w:p>
        </w:tc>
        <w:tc>
          <w:tcPr>
            <w:tcW w:w="70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Древний курсив полужирный (шрифт 26)</w:t>
            </w:r>
          </w:p>
        </w:tc>
      </w:tr>
      <w:tr w:rsidR="009C589C">
        <w:tc>
          <w:tcPr>
            <w:tcW w:w="262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Широкий</w:t>
            </w:r>
          </w:p>
        </w:tc>
        <w:tc>
          <w:tcPr>
            <w:tcW w:w="70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же</w:t>
            </w:r>
          </w:p>
        </w:tc>
      </w:tr>
    </w:tbl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 В скобках указаны номера шрифтов из фотонабора Главного управления геодезии и картографии (ГУГК).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Размеры шрифта для пояснительных надписей около условных обозначений должны быть: 1,6; 2,0; 2,5; 3,0; 3,5; 4,0 мм. В зависимости от изображаемого объекта и масштаба чертежа размеры следует выбирать в соответствии с приведенными в табл. 4.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" w:name="Par188"/>
      <w:bookmarkEnd w:id="2"/>
      <w:r>
        <w:rPr>
          <w:rFonts w:ascii="Arial" w:hAnsi="Arial" w:cs="Arial"/>
          <w:sz w:val="20"/>
          <w:szCs w:val="20"/>
        </w:rPr>
        <w:t>Таблица 4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3572"/>
      </w:tblGrid>
      <w:tr w:rsidR="009C589C">
        <w:tc>
          <w:tcPr>
            <w:tcW w:w="6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надписи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шрифта, мм</w:t>
            </w:r>
          </w:p>
        </w:tc>
      </w:tr>
      <w:tr w:rsidR="009C589C">
        <w:tc>
          <w:tcPr>
            <w:tcW w:w="6123" w:type="dxa"/>
            <w:tcBorders>
              <w:top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сторон света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следов вертикальных разрезов, проекций на вертикальную плоскость, линий их совмещения, разведочных линий, точек поворота следов и линий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2,0; 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пунктов маркшейдерской опорной и съемочной сетей, разбивочной сети, пунктов осей сооружений, пикетных и реечных точек на земной поверхности и в горных выработках открытых и подземных разработок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1,6; 2,0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пунктов и реперов наблюдательных станций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1,6; 2,0; 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Названия, номера, обозначения наблюдательных станций и их профилей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 блоков и отдельно стоящих зданий и сооружений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2,5; 3,0; 3,5; 4,0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 строительных материалов зданий и сооружений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1,6; 2,0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 осей зданий, сооружений, машин и механизмов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2,0; 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трубопроводов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2,0; 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Характеристики машин и механизмов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1,6; 2,0; 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 границ горных предприятий и номера угловых точек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 целиков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2,0; 3,0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и номера штабелей и отвалов полезных ископаемых и пород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2,0; 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Названия и номера расчисток, канав, траншей, зумпфов, колодцев, котловин и соляных озер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2,0; 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 и номера стволов и штолен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2,5; 3,0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 и номера шурфов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2,0; 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 и номера скважин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1,6; 2,0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 и номера служебных камер и капитальных горных выработок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 и номера подготовительных, нарезных и очистных выработок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2,0; 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Указания о способе управления горным давлением и первой посадки кровли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1,6; 2,0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мест, очагов, зон опасности и ее признаков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и состояние выработок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2,0; 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и названия тел полезных ископаемых и их слоев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1,6; 2,0; 2,5; 3,0; 3,5; 4,0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и названия складок и их частей, разрывных нарушений, обнажений (выходов) полезных ископаемых и горных пород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2,0; 2,5; 3,0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 стратиграфических подразделений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1,6; 2,0; 2,5; 3,0; 3,5; 4,0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 горных пород и полезных ископаемых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1,6; 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Буквенные обозначения горных пород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 (строчная буква)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Буквенные обозначения минералов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 (строчная буква)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Буквенные обозначения структуры и текстуры горных пород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о запасах полезных ископаемых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2,0; 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 или глубина зданий и сооружений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2,0; 3,0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горных пород, тел полезных ископаемых и их слоев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Числовые характеристики изолиний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Числовые характеристики коммуникаций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1,6; 2,0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Углы падения и простирания, дирекционные углы, углы наклона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Даты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1,6; 2,0; 2,5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Греческие и латинские буквы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2,0; 3,0</w:t>
            </w:r>
          </w:p>
        </w:tc>
      </w:tr>
      <w:tr w:rsidR="009C589C">
        <w:tc>
          <w:tcPr>
            <w:tcW w:w="612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Химические формулы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bottom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</w:tbl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Примечание. Размеры надписей, не указанных в </w:t>
      </w:r>
      <w:hyperlink w:anchor="Par188" w:history="1">
        <w:r>
          <w:rPr>
            <w:rFonts w:ascii="Arial" w:hAnsi="Arial" w:cs="Arial"/>
            <w:color w:val="0000FF"/>
            <w:sz w:val="20"/>
            <w:szCs w:val="20"/>
          </w:rPr>
          <w:t>табл. 4</w:t>
        </w:r>
      </w:hyperlink>
      <w:r>
        <w:rPr>
          <w:rFonts w:ascii="Arial" w:hAnsi="Arial" w:cs="Arial"/>
          <w:sz w:val="20"/>
          <w:szCs w:val="20"/>
        </w:rPr>
        <w:t>, следует устанавливать по аналогии с приведенными, руководствуясь содержанием надписи, масштабом чертежа и видом условного обозначения.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Названия объектов, изображаемых масштабными и разномасштабными условными обозначениями, следует, как правило, указывать полностью. Если места для полного названия недостаточно, то его следует указывать в сокращенном виде. Названия объектов, изображаемых внемасштабными условными обозначениями, следует указывать в сокращенном виде. Сокращения пояснительных надписей на чертежах приведены в </w:t>
      </w:r>
      <w:hyperlink w:anchor="Par318" w:history="1">
        <w:r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Названия объектов на чертежах следует указывать с прописной буквы и размещать следующим образом: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масштабных условных обозначениях названия и цифровые данные следует помещать на площади условных обозначений, ориентируя, как показано на </w:t>
      </w:r>
      <w:hyperlink w:anchor="Par279" w:history="1">
        <w:r>
          <w:rPr>
            <w:rFonts w:ascii="Arial" w:hAnsi="Arial" w:cs="Arial"/>
            <w:color w:val="0000FF"/>
            <w:sz w:val="20"/>
            <w:szCs w:val="20"/>
          </w:rPr>
          <w:t>черт. 1</w:t>
        </w:r>
      </w:hyperlink>
      <w:r>
        <w:rPr>
          <w:rFonts w:ascii="Arial" w:hAnsi="Arial" w:cs="Arial"/>
          <w:sz w:val="20"/>
          <w:szCs w:val="20"/>
        </w:rPr>
        <w:t>, а; если надписи не помещаются внутри условного обозначения, то название следует наносить слева от условных обозначений, а цифровые данные справа, ориентируя их параллельно нижней рамке чертежа (</w:t>
      </w:r>
      <w:hyperlink w:anchor="Par279" w:history="1">
        <w:r>
          <w:rPr>
            <w:rFonts w:ascii="Arial" w:hAnsi="Arial" w:cs="Arial"/>
            <w:color w:val="0000FF"/>
            <w:sz w:val="20"/>
            <w:szCs w:val="20"/>
          </w:rPr>
          <w:t>черт. 1</w:t>
        </w:r>
      </w:hyperlink>
      <w:r>
        <w:rPr>
          <w:rFonts w:ascii="Arial" w:hAnsi="Arial" w:cs="Arial"/>
          <w:sz w:val="20"/>
          <w:szCs w:val="20"/>
        </w:rPr>
        <w:t>, б). На безмасштабных условных обозначениях названия следует указывать слева, а цифровые данные справа от условных обозначений, ориентируя их параллельно нижней рамке чертежа (</w:t>
      </w:r>
      <w:hyperlink w:anchor="Par279" w:history="1">
        <w:r>
          <w:rPr>
            <w:rFonts w:ascii="Arial" w:hAnsi="Arial" w:cs="Arial"/>
            <w:color w:val="0000FF"/>
            <w:sz w:val="20"/>
            <w:szCs w:val="20"/>
          </w:rPr>
          <w:t>черт. 1</w:t>
        </w:r>
      </w:hyperlink>
      <w:r>
        <w:rPr>
          <w:rFonts w:ascii="Arial" w:hAnsi="Arial" w:cs="Arial"/>
          <w:sz w:val="20"/>
          <w:szCs w:val="20"/>
        </w:rPr>
        <w:t>, в);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плане горных выработок на масштабных условных обозначениях названия следует помещать рядом с выработкой, ориентируя их параллельно выработке, названия стволов следует ориентировать параллельно изображению околоствольных выработок. На безмасштабных условных обозначениях названия или номера следует указывать слева, а цифровые данные справа от условных обозначений, ориентируя их параллельно изображению выработок;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всех чертежах для разномасштабных и пояснительных условных обозначений вытянутой формы названия и цифровые данные следует указывать вдоль этих обозначений, ориентируя их, как показано на </w:t>
      </w:r>
      <w:hyperlink w:anchor="Par279" w:history="1">
        <w:r>
          <w:rPr>
            <w:rFonts w:ascii="Arial" w:hAnsi="Arial" w:cs="Arial"/>
            <w:color w:val="0000FF"/>
            <w:sz w:val="20"/>
            <w:szCs w:val="20"/>
          </w:rPr>
          <w:t>черт. 1</w:t>
        </w:r>
      </w:hyperlink>
      <w:r>
        <w:rPr>
          <w:rFonts w:ascii="Arial" w:hAnsi="Arial" w:cs="Arial"/>
          <w:sz w:val="20"/>
          <w:szCs w:val="20"/>
        </w:rPr>
        <w:t>, г. Для отдельных пояснительных условных обозначений следует указывать только цифровые данные, помещая их справа от условного обозначения параллельно его контурам (черт. 1, д).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01"/>
          <w:sz w:val="20"/>
          <w:szCs w:val="20"/>
          <w:lang w:eastAsia="ru-RU"/>
        </w:rPr>
        <w:drawing>
          <wp:inline distT="0" distB="0" distL="0" distR="0">
            <wp:extent cx="2601595" cy="395351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279"/>
      <w:bookmarkEnd w:id="3"/>
      <w:r>
        <w:rPr>
          <w:rFonts w:ascii="Arial" w:hAnsi="Arial" w:cs="Arial"/>
          <w:sz w:val="20"/>
          <w:szCs w:val="20"/>
        </w:rPr>
        <w:t>Черт. 1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81"/>
      <w:bookmarkEnd w:id="4"/>
      <w:r>
        <w:rPr>
          <w:rFonts w:ascii="Arial" w:hAnsi="Arial" w:cs="Arial"/>
          <w:sz w:val="20"/>
          <w:szCs w:val="20"/>
        </w:rPr>
        <w:t>12. На оригиналах чертежей условные обозначения следует выполнять в основном черным цветом. Некоторые условные обозначения или их отдельные элементы следует дополнять цветами хроматической гаммы.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Цвет условных обозначений должен соответствовать опорной шкале цветов (черт. 2).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613"/>
          <w:sz w:val="20"/>
          <w:szCs w:val="20"/>
          <w:lang w:eastAsia="ru-RU"/>
        </w:rPr>
        <w:drawing>
          <wp:inline distT="0" distB="0" distL="0" distR="0">
            <wp:extent cx="2588895" cy="395351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286"/>
      <w:bookmarkEnd w:id="5"/>
      <w:r>
        <w:rPr>
          <w:rFonts w:ascii="Arial" w:hAnsi="Arial" w:cs="Arial"/>
          <w:sz w:val="20"/>
          <w:szCs w:val="20"/>
        </w:rPr>
        <w:t>Черт. 2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Способы получения цветов опорной шкалы изложены в </w:t>
      </w:r>
      <w:hyperlink w:anchor="Par898" w:history="1">
        <w:r>
          <w:rPr>
            <w:rFonts w:ascii="Arial" w:hAnsi="Arial" w:cs="Arial"/>
            <w:color w:val="0000FF"/>
            <w:sz w:val="20"/>
            <w:szCs w:val="20"/>
          </w:rPr>
          <w:t>Приложении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Указания о цвете условных обозначений приведены в ГОСТ 2.854 - ГОСТ 2.857 в графе "Цвет".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чертежах, предназначенных для размножения, и на чертежах производной документации цветные условные обозначения и их элементы следует выполнять черным цветом.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При необходимости строительные материалы следует показать следующими цветами: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бетон, железобетон - зеленый 7;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 - светлый фиолетовый 10с;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кирпич, камень, шлакоблоки - оранжевый 3;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дерево - желтый 4.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Годовые канты по контуру очистной выработки на чертежах горных выработок следует выполнять в зависимости от последней цифры года следующим цветом: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 или 5 - светлый фиолетовый 10с;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или 6 - светлый красный 2с;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или 7 - светлый зеленый 7с;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или 8 - оранжевый 3;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или 9 - светлый синий 9с.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15. На всех чертежах высотные отметки объектов на земной поверхности следует изображать черным цветом, высотные отметки подземных объектов - цветом синий 9.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Площадь условных обозначений горных выработок, пройденных по породе, на чертежах всех видов, при необходимости, следует окрашивать цветом желтый 4.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Площадь условных обозначений целиком и участков полезного ископаемого, отнесенных в потери, следует окрашивать цветом лимонный 5.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305"/>
      <w:bookmarkEnd w:id="6"/>
      <w:r>
        <w:rPr>
          <w:rFonts w:ascii="Arial" w:hAnsi="Arial" w:cs="Arial"/>
          <w:sz w:val="20"/>
          <w:szCs w:val="20"/>
        </w:rPr>
        <w:t xml:space="preserve">18. Линии штриховки, за исключением штриховки в условном обозначении выработанного пространства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(ГОСТ 2.855)</w:t>
        </w:r>
      </w:hyperlink>
      <w:r>
        <w:rPr>
          <w:rFonts w:ascii="Arial" w:hAnsi="Arial" w:cs="Arial"/>
          <w:sz w:val="20"/>
          <w:szCs w:val="20"/>
        </w:rPr>
        <w:t>, следует проводить под углом 45° к нижней линии рамки чертежа или к обрезу листа. Линии штриховки в условном обозначении выработанного пространства ориентируют произвольно, не допуская при этом штриховки, параллельной горным выработкам.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Элементы условных обозначений горных пород следует размещать в шахматном порядке по сетке, параллельной рамкам чертежа. Для мощных и средней мощности пластовых или пластообразно залегающих пород элементы условных обозначений следует размещать также в шахматном порядке, но по сетке, у которой одна система линий параллельна, а вторая перпендикулярна линиям контактов. Для пород, залегающих в виде тонких и весьма тонких пластов жил и малых интрузий, элементы условных обозначений следует размещать параллельно линии контактов.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Если площадь, занятая изображением горных пород на чертеже, равна или больше площади условных обозначений, приведенных в стандарте, то размеры элементов условных обозначений, толщина их линий, расстояние между элементами и линиями штриховки должны соответствовать приведенным в стандарте, соблюдая при этом расположение элементов и линий штриховки. Если площадь, занятая изображением горных пород на чертеже, меньше площади условных обозначений, то условные обозначения и штриховку следует наносить, уменьшая расстояния между ними и между линиями штриховки, но сохраняя при этом подобие в их расположении и рисунок условного обозначения.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Условные обозначения геологической ситуации, не прослеженной горными выработками (предполагаемой), разрешается наносить на чертежи карандашом.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Условные обозначения объектов, не находящихся в плоскости проекции, следует изображать штриховой линией размером 3,0/1,5 мм. При наложении условных обозначений объектов условное обозначение объекта, расположенного ниже, следует изображать штриховой линией размером 2,0/1,0 мм.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Рекомендуемое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7" w:name="Par318"/>
      <w:bookmarkEnd w:id="7"/>
      <w:r>
        <w:rPr>
          <w:rFonts w:ascii="Arial" w:hAnsi="Arial" w:cs="Arial"/>
          <w:sz w:val="20"/>
          <w:szCs w:val="20"/>
        </w:rPr>
        <w:t>СОКРАЩЕНИЯ ПОЯСНИТЕЛЬНЫХ НАДПИСЕЙ НА ЧЕРТЕЖАХ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530"/>
      </w:tblGrid>
      <w:tr w:rsidR="009C589C">
        <w:tc>
          <w:tcPr>
            <w:tcW w:w="7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Сокращение</w:t>
            </w:r>
          </w:p>
        </w:tc>
      </w:tr>
      <w:tr w:rsidR="009C589C">
        <w:tc>
          <w:tcPr>
            <w:tcW w:w="7143" w:type="dxa"/>
            <w:tcBorders>
              <w:top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Агрегат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Аккумуляторный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акк.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Алевролит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алевр.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Амплитуда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Антиклиналь, антиклинальный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антикл.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Аргиллит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арг.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Балансовый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Барьерный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Берма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Бетономешалка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бетмеш.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Боковой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Бремсберг, бремсберговый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Брызгальный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брыз.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Бульдозерный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бульд.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Бункер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бунк.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Бурозаправочный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бурзапр.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Бутовый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Бытовой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Вещества взрывчатые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Взрыв, взрывной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Внешний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внеш.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Внутренний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Водонефтеносный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воднефнос.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Водоносный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Водоспуск, водоспускной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водсп.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Водотрубный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водтруб.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Водоупорный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водупор.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Восстающий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Вскрыша, вскрышной, вскрывающий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вскр.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Вторичный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Выдающий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Выемочный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Вынимаемый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выним.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Выпуск, выпускной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Выработка, выработанный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выраб.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Высоконапорный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выснап.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Выщелачивание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выщ.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Газонефтеносный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газнефнос.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Газоубежище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газубеж.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Галерея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Гезенк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гез.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Гидровскрышка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гидрвскр.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Гидрогеологический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гидргеол.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Гидропневматический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гидрпнев.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Гидротранспорт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гидртран.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Гидрошахта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гидршах.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Горизонт, горизонтальный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Грохочение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грох.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Грузопускной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Давление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Дегазация, дегазационный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дегаз.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деж.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Депрессия, депрессионный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Деформация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деформ.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Дизелевоз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дизвоз.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Дирекционный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Дозатор, дозаторный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Дучка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дуч.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Естественный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Забалансовый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Забой, забойный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Зависание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завис.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Заглушенный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заглуш.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Заиловка, заиливание, заиленный, заиловочный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Закладка, закладочный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Замагазинированный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замаг.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Замораживающий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замор.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Запасы, запасной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запас.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Запруда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Зарядная (камера)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Затампонированный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затамп.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Земельный, земной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Землесос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земсос.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Зольность, зольный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зольн.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Инструментальный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Камера, камерный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Канава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Карьер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Квершлаг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кверш.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Клеть, клетьевой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Колонка, колонковый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колонк.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Комплекс, комплексный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Конвейерный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Кондиционный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Концентрат, концентрационный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Косовичник, косовичный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косов.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Крепление, крепленный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Кроссинг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Купол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Лаборатория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Ламповая (здание)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Лебедка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леб.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Лесоматериал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лесмат.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Лесоспускной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лессп.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Ликвидированный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Ложный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ложн.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Локомотив, локомотивный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локом.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Людской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Магистральный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взрывчатый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ВМ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Междукамерный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межкам.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Междуслоевой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межсл.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Междуэтажный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межэт.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Многозабойный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многзаб.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Многолетнемерзлый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многлетмерз.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Мульда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Надшахтный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надшах.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Накопительный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накоп.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Некондиционный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неконд.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Обводной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обвод.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Обезвоживающий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обезвож.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Обнажение, обнаженный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Оборудование, оборудованный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Обрушение, обрушенный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Ограждение, ограждающий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Ожидание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Окисление, окисленный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окис.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Околоствольный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околоств.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Опережение, опережающий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опереж.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Оползень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опол.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Опорный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опор.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Опрокидыватель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опрокид.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Опускание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опус.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Осветляющий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Оседание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Осыпь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Отбор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Откаточный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откат.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Откос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Отметка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Охлаждение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Охраняемый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Очаг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Падение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Панель, панельный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Перепуск, перепускной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перус.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Песчаный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песч.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пч.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Плотик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Плывун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плыв.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Пневматический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пневм.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Поверхность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Подготовительный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Подсечка, подсечный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подсеч.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Подстанция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подст.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Подуступ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подуст.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Подэтаж, подэтажный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подэт.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Полезный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полез.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Пониженный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пониж.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Поперечный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попер.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Порода, породный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Породоспускной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порсп.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Послойный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Потолочина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Почва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Предохранительный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предохр.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Преобразовательный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Пригрузка, пригрузочный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пригруз.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Провал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Промежуточный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промеж.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Промоина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Промывочный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Промышленный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промышл.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Пропиточный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Просадка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Просек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Простирание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простир.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Профилактика, профилактический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Пульпосборник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пульпосбор.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Пустота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пуст.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Пучение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пуч.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Раздув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Разминовка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размин.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Разрез, разрезной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Раскоска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раск.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Рассечка, рассечной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Расслоение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Реверсия, реверсивный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реверс.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Рекультивация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рекул.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Россыпь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Рудоспуск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рудсп.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Самоизливающийся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самизл.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Самообрушение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самобр.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Самоспасатель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самспас.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Самотечный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самтеч.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Сбойка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Свита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Сводный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Сдвижение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Секционный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Сечение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сеч.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Сигнализация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Синклиналь, синклинальный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синкл.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Скиповой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Скреперный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Сланец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Слепой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Смесительный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Сниженный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сниж.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Совмещение, совмещенный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совмещ.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Солифлюкционный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солифлюк.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Сопряжение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сопряж.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Сплотки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Спуск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Ствол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Съемочный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съем.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Тампонаж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Термальный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Толкатель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толк.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Транспорт, транспортный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Траншея, траншейный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транш.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Трещина, трещиноватость, трещиноватый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трещ.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Трубопровод, трубопроводный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трубпров.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Тяговая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тяг.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Убежище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убеж.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Увлажнение, увлажняющий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Углесос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угсос.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Углистый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Углеспускной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углсп.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Уклон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Укрытие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Умформерный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умф.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Уступ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Утвержденный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Фабрика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фаб.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Фильтр, фильтрующий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Флексура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флекс.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Ходок, ходовой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ход.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Хранение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хран.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Целик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Частичный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Шкив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Штанговая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штанг.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Шурф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шф.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Щитовой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Эксплуатационный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Эластичный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эласт.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Электровоз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элвоз.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Электрокабель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элкаб.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Электрооборудование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элобор.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Энергетический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Этаж, этажный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эт.</w:t>
            </w:r>
          </w:p>
        </w:tc>
      </w:tr>
      <w:tr w:rsidR="009C589C">
        <w:tc>
          <w:tcPr>
            <w:tcW w:w="7143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Ярус, ярусный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яр.</w:t>
            </w:r>
          </w:p>
        </w:tc>
      </w:tr>
    </w:tbl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 Недостающие сокращения пояснительных надписей - по действующим условным знакам ГУГК.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Справочное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8" w:name="Par898"/>
      <w:bookmarkEnd w:id="8"/>
      <w:r>
        <w:rPr>
          <w:rFonts w:ascii="Arial" w:hAnsi="Arial" w:cs="Arial"/>
          <w:sz w:val="20"/>
          <w:szCs w:val="20"/>
        </w:rPr>
        <w:t>ВОСПРОИЗВЕДЕНИЕ ЦВЕТА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Для воспроизведения цветов опорной шкалы используют анилиновые красители, тушь (обычную, "Колибри", "Кальмар") и акварельные краски.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всех случаях за белый цвет принимают цвет чертежной бумаги, за черный - цвет черной туши.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Из анилиновых красителей воспроизводят все цвета опорной шкалы за исключением черного 0т </w:t>
      </w:r>
      <w:hyperlink w:anchor="Par286" w:history="1">
        <w:r>
          <w:rPr>
            <w:rFonts w:ascii="Arial" w:hAnsi="Arial" w:cs="Arial"/>
            <w:color w:val="0000FF"/>
            <w:sz w:val="20"/>
            <w:szCs w:val="20"/>
          </w:rPr>
          <w:t>(черт. 2)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анилиновых красителей вначале приготовляют растворы, позволяющие воспроизвести цвета средней колонки опорной шкалы; растворы составляют по рецепту:</w:t>
      </w: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порошка красителя - 0,5 г,</w:t>
      </w: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уксуса 9%-го      - 22,0 г,</w:t>
      </w: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воды              - 28,0 г.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Семь цветов воспроизводят растворами из красителей следующих названий:</w:t>
      </w: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пурпурный 1           - из красителя бордо,</w:t>
      </w: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красный 2                "     "     красного,</w:t>
      </w: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оранжевый 3              "     "     оранжевого,</w:t>
      </w: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лимонный 5               "     "     желтого,</w:t>
      </w: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изумрудно-зеленый 8      "     "     зеленого,</w:t>
      </w: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синий 9                  "     "     василькового,</w:t>
      </w:r>
    </w:p>
    <w:p w:rsidR="009C589C" w:rsidRDefault="009C589C" w:rsidP="009C589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фиолетовый 10            "     "     фиолетового.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Серый цвет 0 получают, разбавляя водой раствор черного красителя, полученный по указанному рецепту, в соотношении 1:20.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Три остальных цвета средней колонки воспроизводят смесью из двух растворов: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желтый 4 - из оранжевого и лимонного раствора в соотношении 1:10;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желто-зеленый 6 - из изумрудно-зеленого и лимонного растворов в соотношении 1:10;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зеленый 7 - из лимонного и изумрудно-зеленого растворов в соотношении 3:2.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Светлые и темные цвета опорной шкалы (левая и правая колонки) воспроизводят из растворов красителей, дающих цвета средней колонки, по рецептам, приведенным в табл. 1.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134"/>
        <w:gridCol w:w="3969"/>
      </w:tblGrid>
      <w:tr w:rsidR="009C589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Светлый цвет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Темный цвет</w:t>
            </w:r>
          </w:p>
        </w:tc>
      </w:tr>
      <w:tr w:rsidR="009C589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цвета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количества раствора цветного красителя к количеству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цвета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количества раствора черного красителя к количеству раствора цветного красителя</w:t>
            </w:r>
          </w:p>
        </w:tc>
      </w:tr>
      <w:tr w:rsidR="009C589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1:25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</w:t>
            </w:r>
          </w:p>
        </w:tc>
      </w:tr>
    </w:tbl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Растворы из анилиновых красителей приготовляют в следующем порядке: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флаконы емкостью 50 - 60 см3 моют в горячей кипяченой воде или кипятят и высушивают;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белой бумаге растворяют несколько крошек красителя в воде и проверяют совпадение полученного цвета по тону с соответствующим цветом опорной шкалы;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совпадении тонов во флаконы высыпают по 0,5 г порошка, наливают по 28 г почти кипящей воды и по 22 г 9%-го уксуса; содержимое флаконов взбалтывают и дают постоять 3 ч (оставшиеся порошки изолируют друг от друга и хранят в сухом месте);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через 3 ч растворы сливают с осадка в чистые флаконы;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флаконы наклеивают этикетки и указывают на них название цвета, его номер и дату приготовления.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годности растворов красителей - не менее одного года.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светлых и темных цветов опорной шкалы приготовляют растворы в чашечках или тушницах, остатки их не хранят.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Из туши "Колибри" воспроизводят цвета средней колонки опорной шкалы в соответствии с указаниями, приведенными в табл. 2.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Par981"/>
      <w:bookmarkEnd w:id="9"/>
      <w:r>
        <w:rPr>
          <w:rFonts w:ascii="Arial" w:hAnsi="Arial" w:cs="Arial"/>
          <w:sz w:val="20"/>
          <w:szCs w:val="20"/>
        </w:rPr>
        <w:t>Таблица 2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6132"/>
      </w:tblGrid>
      <w:tr w:rsidR="009C589C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 по опорной шкале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Тушь "Колибри", ее растворы в воде и смеси</w:t>
            </w:r>
          </w:p>
        </w:tc>
      </w:tr>
      <w:tr w:rsidR="009C589C"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Черный 0т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Черная</w:t>
            </w:r>
          </w:p>
        </w:tc>
      </w:tr>
      <w:tr w:rsidR="009C589C">
        <w:tc>
          <w:tcPr>
            <w:tcW w:w="351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Пурпурный 1</w:t>
            </w: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Фиолетовая и розовая в отношении 1:3</w:t>
            </w:r>
          </w:p>
        </w:tc>
      </w:tr>
      <w:tr w:rsidR="009C589C">
        <w:tc>
          <w:tcPr>
            <w:tcW w:w="351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Красная с водой в отношении 1:1</w:t>
            </w:r>
          </w:p>
        </w:tc>
      </w:tr>
      <w:tr w:rsidR="009C589C">
        <w:tc>
          <w:tcPr>
            <w:tcW w:w="351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Оранжевый 3</w:t>
            </w: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Оранжевая с водой в отношении 1:1</w:t>
            </w:r>
          </w:p>
        </w:tc>
      </w:tr>
      <w:tr w:rsidR="009C589C">
        <w:tc>
          <w:tcPr>
            <w:tcW w:w="351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Желтый 4</w:t>
            </w: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Желтая</w:t>
            </w:r>
          </w:p>
        </w:tc>
      </w:tr>
      <w:tr w:rsidR="009C589C">
        <w:tc>
          <w:tcPr>
            <w:tcW w:w="351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Лимонный 5</w:t>
            </w: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Лимонно-желтая</w:t>
            </w:r>
          </w:p>
        </w:tc>
      </w:tr>
      <w:tr w:rsidR="009C589C">
        <w:tc>
          <w:tcPr>
            <w:tcW w:w="351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Желто-зеленый 6</w:t>
            </w: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Желто-зеленая с водой в отношении 1:5</w:t>
            </w:r>
          </w:p>
        </w:tc>
      </w:tr>
      <w:tr w:rsidR="009C589C">
        <w:tc>
          <w:tcPr>
            <w:tcW w:w="351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Зеленый 7</w:t>
            </w: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Зеленая и лимонно-желтая в отношении 1:5</w:t>
            </w:r>
          </w:p>
        </w:tc>
      </w:tr>
      <w:tr w:rsidR="009C589C">
        <w:tc>
          <w:tcPr>
            <w:tcW w:w="351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Изумрудно-зеленый 8</w:t>
            </w: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Зеленая с водой в отношении 1:1</w:t>
            </w:r>
          </w:p>
        </w:tc>
      </w:tr>
      <w:tr w:rsidR="009C589C">
        <w:tc>
          <w:tcPr>
            <w:tcW w:w="351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Синий 9</w:t>
            </w:r>
          </w:p>
        </w:tc>
        <w:tc>
          <w:tcPr>
            <w:tcW w:w="6132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Синяя с водой в отношении 1:2</w:t>
            </w:r>
          </w:p>
        </w:tc>
      </w:tr>
    </w:tbl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Светлые и темные цвета опорной шкалы воспроизводят растворами и смесями, составляемыми в соответствии с указаниями табл. 3 (из туши "Колибри", ее растворов в воде и смесей, полученных по указаниям </w:t>
      </w:r>
      <w:hyperlink w:anchor="Par981" w:history="1">
        <w:r>
          <w:rPr>
            <w:rFonts w:ascii="Arial" w:hAnsi="Arial" w:cs="Arial"/>
            <w:color w:val="0000FF"/>
            <w:sz w:val="20"/>
            <w:szCs w:val="20"/>
          </w:rPr>
          <w:t>табл. 2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134"/>
        <w:gridCol w:w="3969"/>
      </w:tblGrid>
      <w:tr w:rsidR="009C589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Светлый цвет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Темный цвет</w:t>
            </w:r>
          </w:p>
        </w:tc>
      </w:tr>
      <w:tr w:rsidR="009C589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цвета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Отношение количества туши "Колибри", ее растворов и смесей </w:t>
            </w:r>
            <w:hyperlink w:anchor="Par9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(табл. 2)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 количеству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цвета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Отношение количества черной туши "Колибри" к количеству цветной туши "Колибри", ее растворов и смесей </w:t>
            </w:r>
            <w:hyperlink w:anchor="Par9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(табл. 2)</w:t>
              </w:r>
            </w:hyperlink>
          </w:p>
        </w:tc>
      </w:tr>
      <w:tr w:rsidR="009C589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 + 25 частей воды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</w:tr>
      <w:tr w:rsidR="009C589C">
        <w:tc>
          <w:tcPr>
            <w:tcW w:w="1134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</w:t>
            </w:r>
          </w:p>
        </w:tc>
      </w:tr>
    </w:tbl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Площади условных знаков растворами и смесями из анилиновых красителей и туши "Колибри" покрывают на чертежах одним слоем.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Обычной тушью воспроизводят цвета средней колонки опорной шкалы, указанные в табл. 4.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4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406"/>
      </w:tblGrid>
      <w:tr w:rsidR="009C589C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 по опорной шкале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 туши и условия получения цвета по шкале</w:t>
            </w:r>
          </w:p>
        </w:tc>
      </w:tr>
      <w:tr w:rsidR="009C589C">
        <w:tc>
          <w:tcPr>
            <w:tcW w:w="3231" w:type="dxa"/>
            <w:tcBorders>
              <w:top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Черный 0т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Черная</w:t>
            </w:r>
          </w:p>
        </w:tc>
      </w:tr>
      <w:tr w:rsidR="009C589C">
        <w:tc>
          <w:tcPr>
            <w:tcW w:w="3231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Красная, смешиваемая с желтой до получения цвета по опорной шкале</w:t>
            </w:r>
          </w:p>
        </w:tc>
      </w:tr>
      <w:tr w:rsidR="009C589C">
        <w:tc>
          <w:tcPr>
            <w:tcW w:w="3231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Желтый 4</w:t>
            </w: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Желтая в два покрытия</w:t>
            </w:r>
          </w:p>
        </w:tc>
      </w:tr>
      <w:tr w:rsidR="009C589C">
        <w:tc>
          <w:tcPr>
            <w:tcW w:w="3231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Изумрудно-зеленый 8</w:t>
            </w: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Зеленая в два покрытия</w:t>
            </w:r>
          </w:p>
        </w:tc>
      </w:tr>
      <w:tr w:rsidR="009C589C">
        <w:tc>
          <w:tcPr>
            <w:tcW w:w="3231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Синий 9</w:t>
            </w: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Синяя</w:t>
            </w:r>
          </w:p>
        </w:tc>
      </w:tr>
    </w:tbl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Разбавляя тушь соответствующего цвета водой, воспроизводят цвета: светлый желтый 4с и светлый изумрудно-зеленый 8с. Разбавляя водой смесь туши красной и желтой, воспроизводят цвет светлый красный 2с. Туши смешивают и разбавляют до получения цвета в соответствии с цветом по опорной шкале.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Аналогично пользуются тушью "Кальмар".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Темные цвета обычной тушью и тушью "Кальмар" не воспроизводят из-за несмешиваемости цветной туши с черной.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Из акварельных красок для воспроизведения цветов средней колонки опорной шкалы применяют краски, указанные в табл. 5.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5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350"/>
      </w:tblGrid>
      <w:tr w:rsidR="009C589C"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 по опорной шкале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акварельной краски</w:t>
            </w:r>
          </w:p>
        </w:tc>
      </w:tr>
      <w:tr w:rsidR="009C589C">
        <w:tc>
          <w:tcPr>
            <w:tcW w:w="3345" w:type="dxa"/>
            <w:tcBorders>
              <w:top w:val="single" w:sz="4" w:space="0" w:color="auto"/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Черный 0т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Черная кость, жженая кость</w:t>
            </w:r>
          </w:p>
        </w:tc>
      </w:tr>
      <w:tr w:rsidR="009C589C">
        <w:tc>
          <w:tcPr>
            <w:tcW w:w="334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Пурпурный 1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Краплак фиолетовый, красно-фиолетовая, тиоиндиго красно-фиолетовый "С"</w:t>
            </w:r>
          </w:p>
        </w:tc>
      </w:tr>
      <w:tr w:rsidR="009C589C">
        <w:tc>
          <w:tcPr>
            <w:tcW w:w="334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Пигмент алый, красная, ярко-красная "4ж", алая</w:t>
            </w:r>
          </w:p>
        </w:tc>
      </w:tr>
      <w:tr w:rsidR="009C589C">
        <w:tc>
          <w:tcPr>
            <w:tcW w:w="334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Оранжевый 2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Кадмий оранжевый</w:t>
            </w:r>
          </w:p>
        </w:tc>
      </w:tr>
      <w:tr w:rsidR="009C589C">
        <w:tc>
          <w:tcPr>
            <w:tcW w:w="334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Желтый 4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Кадмий желтый</w:t>
            </w:r>
          </w:p>
        </w:tc>
      </w:tr>
      <w:tr w:rsidR="009C589C">
        <w:tc>
          <w:tcPr>
            <w:tcW w:w="334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Лимонный 5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Кадмий лимонный</w:t>
            </w:r>
          </w:p>
        </w:tc>
      </w:tr>
      <w:tr w:rsidR="009C589C">
        <w:tc>
          <w:tcPr>
            <w:tcW w:w="334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Желто-зеленый 6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Желто-зеленая</w:t>
            </w:r>
          </w:p>
        </w:tc>
      </w:tr>
      <w:tr w:rsidR="009C589C">
        <w:tc>
          <w:tcPr>
            <w:tcW w:w="3345" w:type="dxa"/>
            <w:tcBorders>
              <w:righ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Изумрудно-зеленый 8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:rsidR="009C589C" w:rsidRDefault="009C58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Зеленая фталциановая, изумрудно-зеленая, зеленая фталциановая с бланфиксом</w:t>
            </w:r>
          </w:p>
        </w:tc>
      </w:tr>
    </w:tbl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Растворы приготовляют перед употреблением, смешивая краску с двух-трех кисточек (размер N 8) с 4 - 5 г воды и хорошо взбалтывая.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воспроизведения светлых цветов эти растворы разбавляют водой в отношении 1:10 - 1:20, а темных цветов - к 5 - 10 частям растворов добавляют одну часть раствора черной краски.</w:t>
      </w:r>
    </w:p>
    <w:p w:rsidR="009C589C" w:rsidRDefault="009C589C" w:rsidP="009C58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окраске площади условного знака на чертеже наносят 2 - 4 слоя растворов.</w:t>
      </w: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589C" w:rsidRDefault="009C589C" w:rsidP="009C58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C795A" w:rsidRDefault="008C795A">
      <w:bookmarkStart w:id="10" w:name="_GoBack"/>
      <w:bookmarkEnd w:id="10"/>
    </w:p>
    <w:sectPr w:rsidR="008C795A" w:rsidSect="00D743EB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9C"/>
    <w:rsid w:val="008C795A"/>
    <w:rsid w:val="009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63" Type="http://schemas.openxmlformats.org/officeDocument/2006/relationships/image" Target="media/image54.wmf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2D2214B383077D9E005AEE8C5C514F48E2A6B409F2B3D21D82E65983566EDAB7C927477EAC79CB0F6B64A77DQFJ4J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2D2214B383077D9E005AEE8C5C514F48E5A8B905FFEED815DBEA5B845931DFA2D87F4B76BB67CF157766A6Q7J5J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66" Type="http://schemas.openxmlformats.org/officeDocument/2006/relationships/hyperlink" Target="consultantplus://offline/ref=2D2214B383077D9E005AEE8C5C514F48E2A6B409F2B3D21D82E65983566EDAB7C927477EAC79CB0F6B64A77DQFJ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hyperlink" Target="consultantplus://offline/ref=2D2214B383077D9E005AEE8C5C514F48E5A8B905FFEED815DBEA5B845931DFA2D87F4B76BB67CF157766A6Q7J5J" TargetMode="External"/><Relationship Id="rId57" Type="http://schemas.openxmlformats.org/officeDocument/2006/relationships/image" Target="media/image48.wmf"/><Relationship Id="rId61" Type="http://schemas.openxmlformats.org/officeDocument/2006/relationships/image" Target="media/image52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yperlink" Target="consultantplus://offline/ref=2D2214B383077D9E005AEE8C5C514F48E5A8B905FFEED815DBEA5B845931DFA2D87F4B76BB67CF157766A6Q7J5J" TargetMode="External"/><Relationship Id="rId56" Type="http://schemas.openxmlformats.org/officeDocument/2006/relationships/image" Target="media/image47.wmf"/><Relationship Id="rId64" Type="http://schemas.openxmlformats.org/officeDocument/2006/relationships/image" Target="media/image55.png"/><Relationship Id="rId8" Type="http://schemas.openxmlformats.org/officeDocument/2006/relationships/image" Target="media/image1.png"/><Relationship Id="rId51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0.wmf"/><Relationship Id="rId67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5.wmf"/><Relationship Id="rId62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</dc:creator>
  <cp:lastModifiedBy>BELAN</cp:lastModifiedBy>
  <cp:revision>1</cp:revision>
  <dcterms:created xsi:type="dcterms:W3CDTF">2019-04-19T08:11:00Z</dcterms:created>
  <dcterms:modified xsi:type="dcterms:W3CDTF">2019-04-19T08:14:00Z</dcterms:modified>
</cp:coreProperties>
</file>